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B2" w:rsidRPr="003433EF" w:rsidRDefault="00F949B2">
      <w:pPr>
        <w:rPr>
          <w:sz w:val="18"/>
          <w:szCs w:val="18"/>
          <w:lang w:val="ru-RU"/>
        </w:rPr>
      </w:pPr>
      <w:bookmarkStart w:id="0" w:name="_GoBack"/>
      <w:bookmarkEnd w:id="0"/>
    </w:p>
    <w:p w:rsidR="00F949B2" w:rsidRPr="003433EF" w:rsidRDefault="00EC3056">
      <w:pPr>
        <w:rPr>
          <w:sz w:val="18"/>
          <w:szCs w:val="18"/>
        </w:rPr>
      </w:pPr>
      <w:r w:rsidRPr="003433EF">
        <w:rPr>
          <w:sz w:val="18"/>
          <w:szCs w:val="18"/>
        </w:rPr>
        <w:t xml:space="preserve"> </w:t>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rsidTr="00334BDB">
        <w:trPr>
          <w:jc w:val="center"/>
        </w:trPr>
        <w:tc>
          <w:tcPr>
            <w:tcW w:w="546" w:type="dxa"/>
            <w:vMerge w:val="restart"/>
            <w:vAlign w:val="center"/>
          </w:tcPr>
          <w:p w:rsidR="00F949B2" w:rsidRPr="003433EF" w:rsidRDefault="00EC3056">
            <w:pPr>
              <w:rPr>
                <w:sz w:val="18"/>
                <w:szCs w:val="18"/>
              </w:rPr>
            </w:pPr>
            <w:r w:rsidRPr="003433EF">
              <w:rPr>
                <w:sz w:val="18"/>
                <w:szCs w:val="18"/>
              </w:rPr>
              <w:t>№ п/п</w:t>
            </w:r>
          </w:p>
        </w:tc>
        <w:tc>
          <w:tcPr>
            <w:tcW w:w="160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1466"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0997" w:type="dxa"/>
            <w:gridSpan w:val="17"/>
            <w:vAlign w:val="center"/>
          </w:tcPr>
          <w:p w:rsidR="00F949B2" w:rsidRPr="003433EF" w:rsidRDefault="00EC3056">
            <w:pPr>
              <w:rPr>
                <w:sz w:val="18"/>
                <w:szCs w:val="18"/>
              </w:rPr>
            </w:pPr>
            <w:r w:rsidRPr="003433EF">
              <w:rPr>
                <w:sz w:val="18"/>
                <w:szCs w:val="18"/>
              </w:rPr>
              <w:t>Критерии</w:t>
            </w:r>
          </w:p>
        </w:tc>
      </w:tr>
      <w:tr w:rsidR="00F949B2" w:rsidRPr="004D566D"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3216"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1838"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1932"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1950"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rsidTr="00334BDB">
        <w:trPr>
          <w:jc w:val="center"/>
        </w:trPr>
        <w:tc>
          <w:tcPr>
            <w:tcW w:w="546" w:type="dxa"/>
            <w:vMerge/>
            <w:vAlign w:val="center"/>
          </w:tcPr>
          <w:p w:rsidR="00F949B2" w:rsidRPr="003433EF" w:rsidRDefault="00F949B2">
            <w:pPr>
              <w:rPr>
                <w:sz w:val="18"/>
                <w:szCs w:val="18"/>
                <w:lang w:val="ru-RU"/>
              </w:rPr>
            </w:pPr>
          </w:p>
        </w:tc>
        <w:tc>
          <w:tcPr>
            <w:tcW w:w="1607" w:type="dxa"/>
            <w:vMerge/>
            <w:vAlign w:val="center"/>
          </w:tcPr>
          <w:p w:rsidR="00F949B2" w:rsidRPr="003433EF" w:rsidRDefault="00F949B2">
            <w:pPr>
              <w:rPr>
                <w:sz w:val="18"/>
                <w:szCs w:val="18"/>
                <w:lang w:val="ru-RU"/>
              </w:rPr>
            </w:pPr>
          </w:p>
        </w:tc>
        <w:tc>
          <w:tcPr>
            <w:tcW w:w="1466" w:type="dxa"/>
            <w:vMerge/>
            <w:vAlign w:val="center"/>
          </w:tcPr>
          <w:p w:rsidR="00F949B2" w:rsidRPr="003433EF" w:rsidRDefault="00F949B2">
            <w:pPr>
              <w:rPr>
                <w:sz w:val="18"/>
                <w:szCs w:val="18"/>
                <w:lang w:val="ru-RU"/>
              </w:rPr>
            </w:pPr>
          </w:p>
        </w:tc>
        <w:tc>
          <w:tcPr>
            <w:tcW w:w="1286" w:type="dxa"/>
            <w:gridSpan w:val="2"/>
            <w:vAlign w:val="center"/>
          </w:tcPr>
          <w:p w:rsidR="00F949B2" w:rsidRPr="003433EF" w:rsidRDefault="00EC3056">
            <w:pPr>
              <w:rPr>
                <w:sz w:val="18"/>
                <w:szCs w:val="18"/>
              </w:rPr>
            </w:pPr>
            <w:r w:rsidRPr="003433EF">
              <w:rPr>
                <w:sz w:val="18"/>
                <w:szCs w:val="18"/>
              </w:rPr>
              <w:t>1.1</w:t>
            </w:r>
          </w:p>
        </w:tc>
        <w:tc>
          <w:tcPr>
            <w:tcW w:w="643" w:type="dxa"/>
            <w:vAlign w:val="center"/>
          </w:tcPr>
          <w:p w:rsidR="00F949B2" w:rsidRPr="003433EF" w:rsidRDefault="00EC3056">
            <w:pPr>
              <w:rPr>
                <w:sz w:val="18"/>
                <w:szCs w:val="18"/>
              </w:rPr>
            </w:pPr>
            <w:r w:rsidRPr="003433EF">
              <w:rPr>
                <w:sz w:val="18"/>
                <w:szCs w:val="18"/>
              </w:rPr>
              <w:t>1.2</w:t>
            </w:r>
          </w:p>
        </w:tc>
        <w:tc>
          <w:tcPr>
            <w:tcW w:w="1287" w:type="dxa"/>
            <w:gridSpan w:val="2"/>
            <w:vAlign w:val="center"/>
          </w:tcPr>
          <w:p w:rsidR="00F949B2" w:rsidRPr="003433EF" w:rsidRDefault="00EC3056">
            <w:pPr>
              <w:rPr>
                <w:sz w:val="18"/>
                <w:szCs w:val="18"/>
              </w:rPr>
            </w:pPr>
            <w:r w:rsidRPr="003433EF">
              <w:rPr>
                <w:sz w:val="18"/>
                <w:szCs w:val="18"/>
              </w:rPr>
              <w:t>1.3</w:t>
            </w:r>
          </w:p>
        </w:tc>
        <w:tc>
          <w:tcPr>
            <w:tcW w:w="644" w:type="dxa"/>
            <w:vAlign w:val="center"/>
          </w:tcPr>
          <w:p w:rsidR="00F949B2" w:rsidRPr="003433EF" w:rsidRDefault="00EC3056">
            <w:pPr>
              <w:rPr>
                <w:sz w:val="18"/>
                <w:szCs w:val="18"/>
              </w:rPr>
            </w:pPr>
            <w:r w:rsidRPr="003433EF">
              <w:rPr>
                <w:sz w:val="18"/>
                <w:szCs w:val="18"/>
              </w:rPr>
              <w:t>2.1</w:t>
            </w:r>
          </w:p>
        </w:tc>
        <w:tc>
          <w:tcPr>
            <w:tcW w:w="550" w:type="dxa"/>
            <w:vAlign w:val="center"/>
          </w:tcPr>
          <w:p w:rsidR="00F949B2" w:rsidRPr="003433EF" w:rsidRDefault="00EC3056">
            <w:pPr>
              <w:rPr>
                <w:sz w:val="18"/>
                <w:szCs w:val="18"/>
              </w:rPr>
            </w:pPr>
            <w:r w:rsidRPr="003433EF">
              <w:rPr>
                <w:sz w:val="18"/>
                <w:szCs w:val="18"/>
              </w:rPr>
              <w:t>2.2</w:t>
            </w:r>
          </w:p>
        </w:tc>
        <w:tc>
          <w:tcPr>
            <w:tcW w:w="644" w:type="dxa"/>
            <w:vAlign w:val="center"/>
          </w:tcPr>
          <w:p w:rsidR="00F949B2" w:rsidRPr="003433EF" w:rsidRDefault="00EC3056">
            <w:pPr>
              <w:rPr>
                <w:sz w:val="18"/>
                <w:szCs w:val="18"/>
              </w:rPr>
            </w:pPr>
            <w:r w:rsidRPr="003433EF">
              <w:rPr>
                <w:sz w:val="18"/>
                <w:szCs w:val="18"/>
              </w:rPr>
              <w:t>2.3</w:t>
            </w:r>
          </w:p>
        </w:tc>
        <w:tc>
          <w:tcPr>
            <w:tcW w:w="644" w:type="dxa"/>
            <w:vAlign w:val="center"/>
          </w:tcPr>
          <w:p w:rsidR="00F949B2" w:rsidRPr="003433EF" w:rsidRDefault="00EC3056">
            <w:pPr>
              <w:rPr>
                <w:sz w:val="18"/>
                <w:szCs w:val="18"/>
              </w:rPr>
            </w:pPr>
            <w:r w:rsidRPr="003433EF">
              <w:rPr>
                <w:sz w:val="18"/>
                <w:szCs w:val="18"/>
              </w:rPr>
              <w:t>3.1</w:t>
            </w:r>
          </w:p>
        </w:tc>
        <w:tc>
          <w:tcPr>
            <w:tcW w:w="644" w:type="dxa"/>
            <w:vAlign w:val="center"/>
          </w:tcPr>
          <w:p w:rsidR="00F949B2" w:rsidRPr="003433EF" w:rsidRDefault="00EC3056">
            <w:pPr>
              <w:rPr>
                <w:sz w:val="18"/>
                <w:szCs w:val="18"/>
              </w:rPr>
            </w:pPr>
            <w:r w:rsidRPr="003433EF">
              <w:rPr>
                <w:sz w:val="18"/>
                <w:szCs w:val="18"/>
              </w:rPr>
              <w:t>3.2</w:t>
            </w:r>
          </w:p>
        </w:tc>
        <w:tc>
          <w:tcPr>
            <w:tcW w:w="644"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52" w:type="dxa"/>
            <w:vAlign w:val="center"/>
          </w:tcPr>
          <w:p w:rsidR="00F949B2" w:rsidRPr="003433EF" w:rsidRDefault="00EC3056">
            <w:pPr>
              <w:rPr>
                <w:sz w:val="18"/>
                <w:szCs w:val="18"/>
              </w:rPr>
            </w:pPr>
            <w:r w:rsidRPr="003433EF">
              <w:rPr>
                <w:sz w:val="18"/>
                <w:szCs w:val="18"/>
              </w:rPr>
              <w:t>5.1</w:t>
            </w:r>
          </w:p>
        </w:tc>
        <w:tc>
          <w:tcPr>
            <w:tcW w:w="650" w:type="dxa"/>
            <w:vAlign w:val="center"/>
          </w:tcPr>
          <w:p w:rsidR="00F949B2" w:rsidRPr="003433EF" w:rsidRDefault="00EC3056">
            <w:pPr>
              <w:rPr>
                <w:sz w:val="18"/>
                <w:szCs w:val="18"/>
              </w:rPr>
            </w:pPr>
            <w:r w:rsidRPr="003433EF">
              <w:rPr>
                <w:sz w:val="18"/>
                <w:szCs w:val="18"/>
              </w:rPr>
              <w:t>5.2</w:t>
            </w:r>
          </w:p>
        </w:tc>
        <w:tc>
          <w:tcPr>
            <w:tcW w:w="648" w:type="dxa"/>
            <w:vAlign w:val="center"/>
          </w:tcPr>
          <w:p w:rsidR="00F949B2" w:rsidRPr="003433EF" w:rsidRDefault="00EC3056">
            <w:pPr>
              <w:rPr>
                <w:sz w:val="18"/>
                <w:szCs w:val="18"/>
              </w:rPr>
            </w:pPr>
            <w:r w:rsidRPr="003433EF">
              <w:rPr>
                <w:sz w:val="18"/>
                <w:szCs w:val="18"/>
              </w:rPr>
              <w:t>5.3</w:t>
            </w:r>
          </w:p>
        </w:tc>
      </w:tr>
      <w:tr w:rsidR="00F949B2" w:rsidRPr="003433EF"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643" w:type="dxa"/>
            <w:vAlign w:val="center"/>
          </w:tcPr>
          <w:p w:rsidR="00F949B2" w:rsidRPr="003433EF" w:rsidRDefault="00EC3056">
            <w:pPr>
              <w:rPr>
                <w:sz w:val="18"/>
                <w:szCs w:val="18"/>
              </w:rPr>
            </w:pPr>
            <w:r w:rsidRPr="003433EF">
              <w:rPr>
                <w:sz w:val="18"/>
                <w:szCs w:val="18"/>
              </w:rPr>
              <w:t>1.1.1</w:t>
            </w:r>
          </w:p>
        </w:tc>
        <w:tc>
          <w:tcPr>
            <w:tcW w:w="643" w:type="dxa"/>
            <w:vAlign w:val="center"/>
          </w:tcPr>
          <w:p w:rsidR="00F949B2" w:rsidRPr="003433EF" w:rsidRDefault="00EC3056">
            <w:pPr>
              <w:rPr>
                <w:sz w:val="18"/>
                <w:szCs w:val="18"/>
              </w:rPr>
            </w:pPr>
            <w:r w:rsidRPr="003433EF">
              <w:rPr>
                <w:sz w:val="18"/>
                <w:szCs w:val="18"/>
              </w:rPr>
              <w:t>1.1.2</w:t>
            </w:r>
          </w:p>
        </w:tc>
        <w:tc>
          <w:tcPr>
            <w:tcW w:w="643" w:type="dxa"/>
            <w:vAlign w:val="center"/>
          </w:tcPr>
          <w:p w:rsidR="00F949B2" w:rsidRPr="003433EF" w:rsidRDefault="00EC3056">
            <w:pPr>
              <w:rPr>
                <w:sz w:val="18"/>
                <w:szCs w:val="18"/>
              </w:rPr>
            </w:pPr>
            <w:r w:rsidRPr="003433EF">
              <w:rPr>
                <w:sz w:val="18"/>
                <w:szCs w:val="18"/>
              </w:rPr>
              <w:t>1.2.1</w:t>
            </w:r>
          </w:p>
        </w:tc>
        <w:tc>
          <w:tcPr>
            <w:tcW w:w="643" w:type="dxa"/>
            <w:vAlign w:val="center"/>
          </w:tcPr>
          <w:p w:rsidR="00F949B2" w:rsidRPr="003433EF" w:rsidRDefault="00EC3056">
            <w:pPr>
              <w:rPr>
                <w:sz w:val="18"/>
                <w:szCs w:val="18"/>
              </w:rPr>
            </w:pPr>
            <w:r w:rsidRPr="003433EF">
              <w:rPr>
                <w:sz w:val="18"/>
                <w:szCs w:val="18"/>
              </w:rPr>
              <w:t>1.3.1</w:t>
            </w:r>
          </w:p>
        </w:tc>
        <w:tc>
          <w:tcPr>
            <w:tcW w:w="644" w:type="dxa"/>
            <w:vAlign w:val="center"/>
          </w:tcPr>
          <w:p w:rsidR="00F949B2" w:rsidRPr="003433EF" w:rsidRDefault="00EC3056">
            <w:pPr>
              <w:rPr>
                <w:sz w:val="18"/>
                <w:szCs w:val="18"/>
              </w:rPr>
            </w:pPr>
            <w:r w:rsidRPr="003433EF">
              <w:rPr>
                <w:sz w:val="18"/>
                <w:szCs w:val="18"/>
              </w:rPr>
              <w:t>1.3.2</w:t>
            </w:r>
          </w:p>
        </w:tc>
        <w:tc>
          <w:tcPr>
            <w:tcW w:w="644" w:type="dxa"/>
            <w:vAlign w:val="center"/>
          </w:tcPr>
          <w:p w:rsidR="00F949B2" w:rsidRPr="003433EF" w:rsidRDefault="00EC3056">
            <w:pPr>
              <w:rPr>
                <w:sz w:val="18"/>
                <w:szCs w:val="18"/>
              </w:rPr>
            </w:pPr>
            <w:r w:rsidRPr="003433EF">
              <w:rPr>
                <w:sz w:val="18"/>
                <w:szCs w:val="18"/>
              </w:rPr>
              <w:t>2.1.1</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2.3.1</w:t>
            </w:r>
          </w:p>
        </w:tc>
        <w:tc>
          <w:tcPr>
            <w:tcW w:w="644" w:type="dxa"/>
            <w:vAlign w:val="center"/>
          </w:tcPr>
          <w:p w:rsidR="00F949B2" w:rsidRPr="003433EF" w:rsidRDefault="00EC3056">
            <w:pPr>
              <w:rPr>
                <w:sz w:val="18"/>
                <w:szCs w:val="18"/>
              </w:rPr>
            </w:pPr>
            <w:r w:rsidRPr="003433EF">
              <w:rPr>
                <w:sz w:val="18"/>
                <w:szCs w:val="18"/>
              </w:rPr>
              <w:t>3.1.1</w:t>
            </w:r>
          </w:p>
        </w:tc>
        <w:tc>
          <w:tcPr>
            <w:tcW w:w="644" w:type="dxa"/>
            <w:vAlign w:val="center"/>
          </w:tcPr>
          <w:p w:rsidR="00F949B2" w:rsidRPr="003433EF" w:rsidRDefault="00EC3056">
            <w:pPr>
              <w:rPr>
                <w:sz w:val="18"/>
                <w:szCs w:val="18"/>
              </w:rPr>
            </w:pPr>
            <w:r w:rsidRPr="003433EF">
              <w:rPr>
                <w:sz w:val="18"/>
                <w:szCs w:val="18"/>
              </w:rPr>
              <w:t>3.2.1</w:t>
            </w:r>
          </w:p>
        </w:tc>
        <w:tc>
          <w:tcPr>
            <w:tcW w:w="644"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52" w:type="dxa"/>
            <w:vAlign w:val="center"/>
          </w:tcPr>
          <w:p w:rsidR="00F949B2" w:rsidRPr="003433EF" w:rsidRDefault="00EC3056">
            <w:pPr>
              <w:rPr>
                <w:sz w:val="18"/>
                <w:szCs w:val="18"/>
              </w:rPr>
            </w:pPr>
            <w:r w:rsidRPr="003433EF">
              <w:rPr>
                <w:sz w:val="18"/>
                <w:szCs w:val="18"/>
              </w:rPr>
              <w:t>5.1.1</w:t>
            </w:r>
          </w:p>
        </w:tc>
        <w:tc>
          <w:tcPr>
            <w:tcW w:w="650" w:type="dxa"/>
            <w:vAlign w:val="center"/>
          </w:tcPr>
          <w:p w:rsidR="00F949B2" w:rsidRPr="003433EF" w:rsidRDefault="00EC3056">
            <w:pPr>
              <w:rPr>
                <w:sz w:val="18"/>
                <w:szCs w:val="18"/>
              </w:rPr>
            </w:pPr>
            <w:r w:rsidRPr="003433EF">
              <w:rPr>
                <w:sz w:val="18"/>
                <w:szCs w:val="18"/>
              </w:rPr>
              <w:t>5.2.1</w:t>
            </w:r>
          </w:p>
        </w:tc>
        <w:tc>
          <w:tcPr>
            <w:tcW w:w="648" w:type="dxa"/>
            <w:vAlign w:val="center"/>
          </w:tcPr>
          <w:p w:rsidR="00F949B2" w:rsidRPr="003433EF" w:rsidRDefault="00EC3056">
            <w:pPr>
              <w:rPr>
                <w:sz w:val="18"/>
                <w:szCs w:val="18"/>
              </w:rPr>
            </w:pPr>
            <w:r w:rsidRPr="003433EF">
              <w:rPr>
                <w:sz w:val="18"/>
                <w:szCs w:val="18"/>
              </w:rPr>
              <w:t>5.3.1</w:t>
            </w:r>
          </w:p>
        </w:tc>
      </w:tr>
      <w:tr w:rsidR="00F949B2" w:rsidRPr="003433EF" w:rsidTr="00334BDB">
        <w:trPr>
          <w:jc w:val="center"/>
        </w:trPr>
        <w:tc>
          <w:tcPr>
            <w:tcW w:w="546" w:type="dxa"/>
            <w:vMerge w:val="restart"/>
            <w:vAlign w:val="center"/>
          </w:tcPr>
          <w:p w:rsidR="00F949B2" w:rsidRPr="003433EF" w:rsidRDefault="00EC3056">
            <w:pPr>
              <w:rPr>
                <w:sz w:val="18"/>
                <w:szCs w:val="18"/>
              </w:rPr>
            </w:pPr>
            <w:r w:rsidRPr="003433EF">
              <w:rPr>
                <w:sz w:val="18"/>
                <w:szCs w:val="18"/>
              </w:rPr>
              <w:t>85</w:t>
            </w:r>
          </w:p>
        </w:tc>
        <w:tc>
          <w:tcPr>
            <w:tcW w:w="1607" w:type="dxa"/>
            <w:vMerge w:val="restart"/>
            <w:vAlign w:val="center"/>
          </w:tcPr>
          <w:p w:rsidR="00F949B2" w:rsidRPr="003433EF" w:rsidRDefault="00EC3056">
            <w:pPr>
              <w:rPr>
                <w:sz w:val="18"/>
                <w:szCs w:val="18"/>
              </w:rPr>
            </w:pPr>
            <w:r w:rsidRPr="003433EF">
              <w:rPr>
                <w:sz w:val="18"/>
                <w:szCs w:val="18"/>
              </w:rPr>
              <w:t>г. Ярославль</w:t>
            </w:r>
          </w:p>
        </w:tc>
        <w:tc>
          <w:tcPr>
            <w:tcW w:w="1466" w:type="dxa"/>
            <w:vMerge w:val="restart"/>
            <w:vAlign w:val="center"/>
          </w:tcPr>
          <w:p w:rsidR="00F949B2" w:rsidRPr="003433EF" w:rsidRDefault="00EC3056">
            <w:pPr>
              <w:rPr>
                <w:sz w:val="18"/>
                <w:szCs w:val="18"/>
              </w:rPr>
            </w:pPr>
            <w:r w:rsidRPr="003433EF">
              <w:rPr>
                <w:sz w:val="18"/>
                <w:szCs w:val="18"/>
              </w:rPr>
              <w:t>МДОУ д/с № 209</w:t>
            </w:r>
          </w:p>
        </w:tc>
        <w:tc>
          <w:tcPr>
            <w:tcW w:w="1286" w:type="dxa"/>
            <w:gridSpan w:val="2"/>
            <w:vAlign w:val="center"/>
          </w:tcPr>
          <w:p w:rsidR="00F949B2" w:rsidRPr="003433EF" w:rsidRDefault="00EC3056">
            <w:pPr>
              <w:rPr>
                <w:sz w:val="18"/>
                <w:szCs w:val="18"/>
              </w:rPr>
            </w:pPr>
            <w:r w:rsidRPr="003433EF">
              <w:rPr>
                <w:sz w:val="18"/>
                <w:szCs w:val="18"/>
              </w:rPr>
              <w:t>93</w:t>
            </w:r>
          </w:p>
        </w:tc>
        <w:tc>
          <w:tcPr>
            <w:tcW w:w="643" w:type="dxa"/>
            <w:vAlign w:val="center"/>
          </w:tcPr>
          <w:p w:rsidR="00F949B2" w:rsidRPr="003433EF" w:rsidRDefault="00EC3056">
            <w:pPr>
              <w:rPr>
                <w:sz w:val="18"/>
                <w:szCs w:val="18"/>
              </w:rPr>
            </w:pPr>
            <w:r w:rsidRPr="003433EF">
              <w:rPr>
                <w:sz w:val="18"/>
                <w:szCs w:val="18"/>
              </w:rPr>
              <w:t>90</w:t>
            </w:r>
          </w:p>
        </w:tc>
        <w:tc>
          <w:tcPr>
            <w:tcW w:w="1287" w:type="dxa"/>
            <w:gridSpan w:val="2"/>
            <w:vAlign w:val="center"/>
          </w:tcPr>
          <w:p w:rsidR="00F949B2" w:rsidRPr="003433EF" w:rsidRDefault="00EC3056">
            <w:pPr>
              <w:rPr>
                <w:sz w:val="18"/>
                <w:szCs w:val="18"/>
              </w:rPr>
            </w:pPr>
            <w:r w:rsidRPr="003433EF">
              <w:rPr>
                <w:sz w:val="18"/>
                <w:szCs w:val="18"/>
              </w:rPr>
              <w:t>83.3</w:t>
            </w:r>
          </w:p>
        </w:tc>
        <w:tc>
          <w:tcPr>
            <w:tcW w:w="644" w:type="dxa"/>
            <w:vAlign w:val="center"/>
          </w:tcPr>
          <w:p w:rsidR="00F949B2" w:rsidRPr="003433EF" w:rsidRDefault="00EC3056">
            <w:pPr>
              <w:rPr>
                <w:sz w:val="18"/>
                <w:szCs w:val="18"/>
              </w:rPr>
            </w:pPr>
            <w:r w:rsidRPr="003433EF">
              <w:rPr>
                <w:sz w:val="18"/>
                <w:szCs w:val="18"/>
              </w:rPr>
              <w:t>100</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97.6</w:t>
            </w:r>
          </w:p>
        </w:tc>
        <w:tc>
          <w:tcPr>
            <w:tcW w:w="644" w:type="dxa"/>
            <w:vAlign w:val="center"/>
          </w:tcPr>
          <w:p w:rsidR="00F949B2" w:rsidRPr="003433EF" w:rsidRDefault="00EC3056">
            <w:pPr>
              <w:rPr>
                <w:sz w:val="18"/>
                <w:szCs w:val="18"/>
              </w:rPr>
            </w:pPr>
            <w:r w:rsidRPr="003433EF">
              <w:rPr>
                <w:sz w:val="18"/>
                <w:szCs w:val="18"/>
              </w:rPr>
              <w:t>0</w:t>
            </w:r>
          </w:p>
        </w:tc>
        <w:tc>
          <w:tcPr>
            <w:tcW w:w="644" w:type="dxa"/>
            <w:vAlign w:val="center"/>
          </w:tcPr>
          <w:p w:rsidR="00F949B2" w:rsidRPr="003433EF" w:rsidRDefault="00EC3056">
            <w:pPr>
              <w:rPr>
                <w:sz w:val="18"/>
                <w:szCs w:val="18"/>
              </w:rPr>
            </w:pPr>
            <w:r w:rsidRPr="003433EF">
              <w:rPr>
                <w:sz w:val="18"/>
                <w:szCs w:val="18"/>
              </w:rPr>
              <w:t>20</w:t>
            </w:r>
          </w:p>
        </w:tc>
        <w:tc>
          <w:tcPr>
            <w:tcW w:w="644"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52" w:type="dxa"/>
            <w:vAlign w:val="center"/>
          </w:tcPr>
          <w:p w:rsidR="00F949B2" w:rsidRPr="003433EF" w:rsidRDefault="00EC3056">
            <w:pPr>
              <w:rPr>
                <w:sz w:val="18"/>
                <w:szCs w:val="18"/>
              </w:rPr>
            </w:pPr>
            <w:r w:rsidRPr="003433EF">
              <w:rPr>
                <w:sz w:val="18"/>
                <w:szCs w:val="18"/>
              </w:rPr>
              <w:t>96.4</w:t>
            </w:r>
          </w:p>
        </w:tc>
        <w:tc>
          <w:tcPr>
            <w:tcW w:w="650" w:type="dxa"/>
            <w:vAlign w:val="center"/>
          </w:tcPr>
          <w:p w:rsidR="00F949B2" w:rsidRPr="003433EF" w:rsidRDefault="00EC3056">
            <w:pPr>
              <w:rPr>
                <w:sz w:val="18"/>
                <w:szCs w:val="18"/>
              </w:rPr>
            </w:pPr>
            <w:r w:rsidRPr="003433EF">
              <w:rPr>
                <w:sz w:val="18"/>
                <w:szCs w:val="18"/>
              </w:rPr>
              <w:t>98.8</w:t>
            </w:r>
          </w:p>
        </w:tc>
        <w:tc>
          <w:tcPr>
            <w:tcW w:w="648" w:type="dxa"/>
            <w:vAlign w:val="center"/>
          </w:tcPr>
          <w:p w:rsidR="00F949B2" w:rsidRPr="003433EF" w:rsidRDefault="00EC3056">
            <w:pPr>
              <w:rPr>
                <w:sz w:val="18"/>
                <w:szCs w:val="18"/>
              </w:rPr>
            </w:pPr>
            <w:r w:rsidRPr="003433EF">
              <w:rPr>
                <w:sz w:val="18"/>
                <w:szCs w:val="18"/>
              </w:rPr>
              <w:t>97.6</w:t>
            </w:r>
          </w:p>
        </w:tc>
      </w:tr>
      <w:tr w:rsidR="00F949B2" w:rsidRPr="003433EF"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643" w:type="dxa"/>
            <w:vAlign w:val="center"/>
          </w:tcPr>
          <w:p w:rsidR="00F949B2" w:rsidRPr="003433EF" w:rsidRDefault="00EC3056">
            <w:pPr>
              <w:rPr>
                <w:sz w:val="18"/>
                <w:szCs w:val="18"/>
              </w:rPr>
            </w:pPr>
            <w:r w:rsidRPr="003433EF">
              <w:rPr>
                <w:sz w:val="18"/>
                <w:szCs w:val="18"/>
              </w:rPr>
              <w:t>100</w:t>
            </w:r>
          </w:p>
        </w:tc>
        <w:tc>
          <w:tcPr>
            <w:tcW w:w="643" w:type="dxa"/>
            <w:vAlign w:val="center"/>
          </w:tcPr>
          <w:p w:rsidR="00F949B2" w:rsidRPr="003433EF" w:rsidRDefault="00EC3056">
            <w:pPr>
              <w:rPr>
                <w:sz w:val="18"/>
                <w:szCs w:val="18"/>
              </w:rPr>
            </w:pPr>
            <w:r w:rsidRPr="003433EF">
              <w:rPr>
                <w:sz w:val="18"/>
                <w:szCs w:val="18"/>
              </w:rPr>
              <w:t>85</w:t>
            </w:r>
          </w:p>
        </w:tc>
        <w:tc>
          <w:tcPr>
            <w:tcW w:w="643" w:type="dxa"/>
            <w:vAlign w:val="center"/>
          </w:tcPr>
          <w:p w:rsidR="00F949B2" w:rsidRPr="003433EF" w:rsidRDefault="00EC3056">
            <w:pPr>
              <w:rPr>
                <w:sz w:val="18"/>
                <w:szCs w:val="18"/>
              </w:rPr>
            </w:pPr>
            <w:r w:rsidRPr="003433EF">
              <w:rPr>
                <w:sz w:val="18"/>
                <w:szCs w:val="18"/>
              </w:rPr>
              <w:t>90</w:t>
            </w:r>
          </w:p>
        </w:tc>
        <w:tc>
          <w:tcPr>
            <w:tcW w:w="643" w:type="dxa"/>
            <w:vAlign w:val="center"/>
          </w:tcPr>
          <w:p w:rsidR="00F949B2" w:rsidRPr="003433EF" w:rsidRDefault="00EC3056">
            <w:pPr>
              <w:rPr>
                <w:sz w:val="18"/>
                <w:szCs w:val="18"/>
              </w:rPr>
            </w:pPr>
            <w:r w:rsidRPr="003433EF">
              <w:rPr>
                <w:sz w:val="18"/>
                <w:szCs w:val="18"/>
              </w:rPr>
              <w:t>85.7</w:t>
            </w:r>
          </w:p>
        </w:tc>
        <w:tc>
          <w:tcPr>
            <w:tcW w:w="644" w:type="dxa"/>
            <w:vAlign w:val="center"/>
          </w:tcPr>
          <w:p w:rsidR="00F949B2" w:rsidRPr="003433EF" w:rsidRDefault="00EC3056">
            <w:pPr>
              <w:rPr>
                <w:sz w:val="18"/>
                <w:szCs w:val="18"/>
              </w:rPr>
            </w:pPr>
            <w:r w:rsidRPr="003433EF">
              <w:rPr>
                <w:sz w:val="18"/>
                <w:szCs w:val="18"/>
              </w:rPr>
              <w:t>81.0</w:t>
            </w:r>
          </w:p>
        </w:tc>
        <w:tc>
          <w:tcPr>
            <w:tcW w:w="644" w:type="dxa"/>
            <w:vAlign w:val="center"/>
          </w:tcPr>
          <w:p w:rsidR="00F949B2" w:rsidRPr="003433EF" w:rsidRDefault="00EC3056">
            <w:pPr>
              <w:rPr>
                <w:sz w:val="18"/>
                <w:szCs w:val="18"/>
              </w:rPr>
            </w:pPr>
            <w:r w:rsidRPr="003433EF">
              <w:rPr>
                <w:sz w:val="18"/>
                <w:szCs w:val="18"/>
              </w:rPr>
              <w:t>100</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97.6</w:t>
            </w:r>
          </w:p>
        </w:tc>
        <w:tc>
          <w:tcPr>
            <w:tcW w:w="644" w:type="dxa"/>
            <w:vAlign w:val="center"/>
          </w:tcPr>
          <w:p w:rsidR="00F949B2" w:rsidRPr="003433EF" w:rsidRDefault="00EC3056">
            <w:pPr>
              <w:rPr>
                <w:sz w:val="18"/>
                <w:szCs w:val="18"/>
              </w:rPr>
            </w:pPr>
            <w:r w:rsidRPr="003433EF">
              <w:rPr>
                <w:sz w:val="18"/>
                <w:szCs w:val="18"/>
              </w:rPr>
              <w:t>0</w:t>
            </w:r>
          </w:p>
        </w:tc>
        <w:tc>
          <w:tcPr>
            <w:tcW w:w="644" w:type="dxa"/>
            <w:vAlign w:val="center"/>
          </w:tcPr>
          <w:p w:rsidR="00F949B2" w:rsidRPr="003433EF" w:rsidRDefault="00EC3056">
            <w:pPr>
              <w:rPr>
                <w:sz w:val="18"/>
                <w:szCs w:val="18"/>
              </w:rPr>
            </w:pPr>
            <w:r w:rsidRPr="003433EF">
              <w:rPr>
                <w:sz w:val="18"/>
                <w:szCs w:val="18"/>
              </w:rPr>
              <w:t>20</w:t>
            </w:r>
          </w:p>
        </w:tc>
        <w:tc>
          <w:tcPr>
            <w:tcW w:w="644"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52" w:type="dxa"/>
            <w:vAlign w:val="center"/>
          </w:tcPr>
          <w:p w:rsidR="00F949B2" w:rsidRPr="003433EF" w:rsidRDefault="00EC3056">
            <w:pPr>
              <w:rPr>
                <w:sz w:val="18"/>
                <w:szCs w:val="18"/>
              </w:rPr>
            </w:pPr>
            <w:r w:rsidRPr="003433EF">
              <w:rPr>
                <w:sz w:val="18"/>
                <w:szCs w:val="18"/>
              </w:rPr>
              <w:t>96.4</w:t>
            </w:r>
          </w:p>
        </w:tc>
        <w:tc>
          <w:tcPr>
            <w:tcW w:w="650" w:type="dxa"/>
            <w:vAlign w:val="center"/>
          </w:tcPr>
          <w:p w:rsidR="00F949B2" w:rsidRPr="003433EF" w:rsidRDefault="00EC3056">
            <w:pPr>
              <w:rPr>
                <w:sz w:val="18"/>
                <w:szCs w:val="18"/>
              </w:rPr>
            </w:pPr>
            <w:r w:rsidRPr="003433EF">
              <w:rPr>
                <w:sz w:val="18"/>
                <w:szCs w:val="18"/>
              </w:rPr>
              <w:t>98.8</w:t>
            </w:r>
          </w:p>
        </w:tc>
        <w:tc>
          <w:tcPr>
            <w:tcW w:w="648"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4D566D">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4D566D">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57.0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69.3</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91</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72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56.9</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120</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149</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56.8</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Низкое качество содержания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организацией в целом.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44</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79.8</w:t>
            </w:r>
          </w:p>
        </w:tc>
        <w:tc>
          <w:tcPr>
            <w:tcW w:w="687" w:type="dxa"/>
            <w:vAlign w:val="center"/>
          </w:tcPr>
          <w:p w:rsidR="00F949B2" w:rsidRPr="003433EF" w:rsidRDefault="00EC3056">
            <w:pPr>
              <w:rPr>
                <w:sz w:val="18"/>
                <w:szCs w:val="18"/>
              </w:rPr>
            </w:pPr>
            <w:r w:rsidRPr="003433EF">
              <w:rPr>
                <w:sz w:val="18"/>
                <w:szCs w:val="18"/>
              </w:rPr>
              <w:t>80.1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51.5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148 </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124</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62</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78.5</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144</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7"/>
        <w:gridCol w:w="1607"/>
        <w:gridCol w:w="1533"/>
        <w:gridCol w:w="637"/>
        <w:gridCol w:w="638"/>
        <w:gridCol w:w="638"/>
        <w:gridCol w:w="638"/>
        <w:gridCol w:w="638"/>
        <w:gridCol w:w="638"/>
        <w:gridCol w:w="533"/>
        <w:gridCol w:w="638"/>
        <w:gridCol w:w="638"/>
        <w:gridCol w:w="638"/>
        <w:gridCol w:w="638"/>
        <w:gridCol w:w="687"/>
        <w:gridCol w:w="687"/>
        <w:gridCol w:w="687"/>
        <w:gridCol w:w="647"/>
        <w:gridCol w:w="645"/>
        <w:gridCol w:w="64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НШ-ДС № 158 для детей с ограниченными возможностями здоровья</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w:t>
      </w:r>
      <w:r w:rsidRPr="003433EF">
        <w:rPr>
          <w:sz w:val="18"/>
          <w:szCs w:val="18"/>
        </w:rPr>
        <w:t xml:space="preserve">Повышать комфортность условий, в которых осуществляется образовательная деятельность.     </w:t>
      </w:r>
    </w:p>
    <w:p w:rsidR="00F949B2" w:rsidRPr="003433EF" w:rsidRDefault="00EC3056">
      <w:pPr>
        <w:rPr>
          <w:sz w:val="18"/>
          <w:szCs w:val="18"/>
        </w:rPr>
      </w:pPr>
      <w:r w:rsidRPr="003433EF">
        <w:rPr>
          <w:sz w:val="18"/>
          <w:szCs w:val="18"/>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44.2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58.2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35</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69.8</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2D" w:rsidRDefault="0017242D" w:rsidP="001F29DF">
      <w:pPr>
        <w:spacing w:after="0" w:line="240" w:lineRule="auto"/>
      </w:pPr>
      <w:r>
        <w:separator/>
      </w:r>
    </w:p>
  </w:endnote>
  <w:endnote w:type="continuationSeparator" w:id="0">
    <w:p w:rsidR="0017242D" w:rsidRDefault="0017242D"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EndPr/>
    <w:sdtContent>
      <w:p w:rsidR="00334BDB" w:rsidRDefault="00334BDB">
        <w:pPr>
          <w:pStyle w:val="a7"/>
          <w:jc w:val="center"/>
        </w:pPr>
        <w:r>
          <w:fldChar w:fldCharType="begin"/>
        </w:r>
        <w:r>
          <w:instrText>PAGE   \* MERGEFORMAT</w:instrText>
        </w:r>
        <w:r>
          <w:fldChar w:fldCharType="separate"/>
        </w:r>
        <w:r w:rsidR="004D566D" w:rsidRPr="004D566D">
          <w:rPr>
            <w:noProof/>
            <w:lang w:val="ru-RU"/>
          </w:rPr>
          <w:t>1</w:t>
        </w:r>
        <w:r>
          <w:fldChar w:fldCharType="end"/>
        </w:r>
      </w:p>
    </w:sdtContent>
  </w:sdt>
  <w:p w:rsidR="00334BDB" w:rsidRDefault="00334B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2D" w:rsidRDefault="0017242D" w:rsidP="001F29DF">
      <w:pPr>
        <w:spacing w:after="0" w:line="240" w:lineRule="auto"/>
      </w:pPr>
      <w:r>
        <w:separator/>
      </w:r>
    </w:p>
  </w:footnote>
  <w:footnote w:type="continuationSeparator" w:id="0">
    <w:p w:rsidR="0017242D" w:rsidRDefault="0017242D"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7242D"/>
    <w:rsid w:val="001F29DF"/>
    <w:rsid w:val="0023378B"/>
    <w:rsid w:val="0029639D"/>
    <w:rsid w:val="00326F90"/>
    <w:rsid w:val="00334BDB"/>
    <w:rsid w:val="003433EF"/>
    <w:rsid w:val="00491E98"/>
    <w:rsid w:val="004D566D"/>
    <w:rsid w:val="00840F5D"/>
    <w:rsid w:val="008A7D8C"/>
    <w:rsid w:val="009627CA"/>
    <w:rsid w:val="009E24D0"/>
    <w:rsid w:val="00A23BEE"/>
    <w:rsid w:val="00AA1D8D"/>
    <w:rsid w:val="00B47730"/>
    <w:rsid w:val="00CA767D"/>
    <w:rsid w:val="00CB0664"/>
    <w:rsid w:val="00DC5E89"/>
    <w:rsid w:val="00DD2ECD"/>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7183-1D0E-4DDE-9EC1-1C5D8E6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44871</Words>
  <Characters>255770</Characters>
  <Application>Microsoft Office Word</Application>
  <DocSecurity>0</DocSecurity>
  <Lines>2131</Lines>
  <Paragraphs>600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Мэрия города Ярославля</Company>
  <LinksUpToDate>false</LinksUpToDate>
  <CharactersWithSpaces>300041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cp:lastModifiedBy>
  <cp:revision>2</cp:revision>
  <cp:lastPrinted>2019-12-04T12:55:00Z</cp:lastPrinted>
  <dcterms:created xsi:type="dcterms:W3CDTF">2019-12-25T06:41:00Z</dcterms:created>
  <dcterms:modified xsi:type="dcterms:W3CDTF">2019-12-25T06:41:00Z</dcterms:modified>
</cp:coreProperties>
</file>